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黑体" w:eastAsia="方正小标宋简体" w:cs="黑体"/>
          <w:spacing w:val="-6"/>
          <w:w w:val="90"/>
          <w:sz w:val="44"/>
          <w:szCs w:val="44"/>
        </w:rPr>
      </w:pPr>
      <w:r>
        <w:rPr>
          <w:rFonts w:hint="eastAsia" w:ascii="方正小标宋简体" w:hAnsi="黑体" w:eastAsia="方正小标宋简体" w:cs="黑体"/>
          <w:spacing w:val="-6"/>
          <w:w w:val="90"/>
          <w:sz w:val="44"/>
          <w:szCs w:val="44"/>
        </w:rPr>
        <w:t>山东省本科毕业论文(设计)抽检评议要素(试行)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_GB2312" w:hAnsi="黑体" w:eastAsia="仿宋_GB2312" w:cs="黑体"/>
          <w:sz w:val="30"/>
          <w:szCs w:val="30"/>
          <w:highlight w:val="none"/>
        </w:rPr>
      </w:pPr>
      <w:r>
        <w:rPr>
          <w:rFonts w:hint="eastAsia" w:ascii="仿宋_GB2312" w:hAnsi="黑体" w:eastAsia="仿宋_GB2312" w:cs="黑体"/>
          <w:spacing w:val="-8"/>
          <w:sz w:val="30"/>
          <w:szCs w:val="30"/>
          <w:highlight w:val="none"/>
        </w:rPr>
        <w:t>(第Ⅲ类，适用于 13 艺术学)</w:t>
      </w:r>
    </w:p>
    <w:p>
      <w:pPr>
        <w:spacing w:line="92" w:lineRule="exact"/>
        <w:rPr>
          <w:rFonts w:ascii="等线" w:hAnsi="等线" w:eastAsia="等线" w:cs="Times New Roman"/>
          <w:szCs w:val="22"/>
        </w:rPr>
      </w:pPr>
    </w:p>
    <w:tbl>
      <w:tblPr>
        <w:tblStyle w:val="17"/>
        <w:tblW w:w="91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944"/>
        <w:gridCol w:w="6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8" w:hRule="atLeast"/>
          <w:jc w:val="center"/>
        </w:trPr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53" w:line="221" w:lineRule="auto"/>
              <w:ind w:left="123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6"/>
                <w:kern w:val="0"/>
                <w:sz w:val="24"/>
                <w:szCs w:val="24"/>
              </w:rPr>
              <w:t>一</w:t>
            </w: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>级指标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53" w:line="221" w:lineRule="auto"/>
              <w:ind w:left="446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6"/>
                <w:kern w:val="0"/>
                <w:sz w:val="24"/>
                <w:szCs w:val="24"/>
              </w:rPr>
              <w:t>二</w:t>
            </w: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>级指标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="153" w:line="220" w:lineRule="auto"/>
              <w:ind w:left="2496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5"/>
                <w:kern w:val="0"/>
                <w:sz w:val="24"/>
                <w:szCs w:val="24"/>
              </w:rPr>
              <w:t>评</w:t>
            </w:r>
            <w:r>
              <w:rPr>
                <w:rFonts w:ascii="黑体" w:hAnsi="黑体" w:eastAsia="黑体" w:cs="宋体"/>
                <w:spacing w:val="-3"/>
                <w:kern w:val="0"/>
                <w:sz w:val="24"/>
                <w:szCs w:val="24"/>
              </w:rPr>
              <w:t>议要素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选题意义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(10)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价值导向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14"/>
              <w:rPr>
                <w:rFonts w:ascii="仿宋_GB2312" w:hAnsi="仿宋" w:eastAsia="仿宋_GB2312" w:cs="仿宋"/>
                <w:color w:val="0000FF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体现立德树人要求，符合党和国家方针政策和法律法规，符合社会主义核心价值观，符合我国社会主义精神文明建设和文化事业发展要求。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选题目的与意义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14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2"/>
                <w:kern w:val="0"/>
                <w:sz w:val="24"/>
                <w:szCs w:val="24"/>
              </w:rPr>
              <w:t>选题</w:t>
            </w: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与艺术创作和实践紧密相连</w:t>
            </w:r>
            <w:r>
              <w:rPr>
                <w:rFonts w:hint="eastAsia" w:ascii="仿宋_GB2312" w:hAnsi="仿宋" w:eastAsia="仿宋_GB2312" w:cs="仿宋"/>
                <w:spacing w:val="-12"/>
                <w:kern w:val="0"/>
                <w:sz w:val="24"/>
                <w:szCs w:val="24"/>
              </w:rPr>
              <w:t>，符合艺术学各</w:t>
            </w: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专业培养目标，体现综合训练基本要求；</w:t>
            </w: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面向所在</w:t>
            </w: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" w:eastAsia="仿宋_GB2312" w:cs="仿宋"/>
                <w:spacing w:val="-4"/>
                <w:kern w:val="0"/>
                <w:sz w:val="24"/>
                <w:szCs w:val="24"/>
              </w:rPr>
              <w:t>业领域学术问题或行业社会实际问题，有一</w:t>
            </w:r>
            <w:r>
              <w:rPr>
                <w:rFonts w:hint="eastAsia" w:ascii="仿宋_GB2312" w:hAnsi="仿宋" w:eastAsia="仿宋_GB2312" w:cs="仿宋"/>
                <w:spacing w:val="-16"/>
                <w:kern w:val="0"/>
                <w:sz w:val="24"/>
                <w:szCs w:val="24"/>
              </w:rPr>
              <w:t>定</w:t>
            </w: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的理论或应用参考价值。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9" w:hRule="atLeast"/>
          <w:jc w:val="center"/>
        </w:trPr>
        <w:tc>
          <w:tcPr>
            <w:tcW w:w="1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6"/>
                <w:kern w:val="0"/>
                <w:sz w:val="24"/>
                <w:szCs w:val="24"/>
              </w:rPr>
              <w:t>写作安排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(10)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写作形式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7" w:lineRule="auto"/>
              <w:ind w:left="111" w:right="161" w:firstLine="7"/>
              <w:rPr>
                <w:rFonts w:ascii="仿宋_GB2312" w:hAnsi="仿宋" w:eastAsia="仿宋_GB2312" w:cs="仿宋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5"/>
                <w:kern w:val="0"/>
                <w:sz w:val="24"/>
                <w:szCs w:val="24"/>
              </w:rPr>
              <w:t>写作形式符合专业特</w:t>
            </w:r>
            <w:r>
              <w:rPr>
                <w:rFonts w:hint="eastAsia" w:ascii="仿宋_GB2312" w:hAnsi="仿宋" w:eastAsia="仿宋_GB2312" w:cs="仿宋"/>
                <w:spacing w:val="-17"/>
                <w:kern w:val="0"/>
                <w:sz w:val="24"/>
                <w:szCs w:val="24"/>
              </w:rPr>
              <w:t>点</w:t>
            </w:r>
            <w:r>
              <w:rPr>
                <w:rFonts w:hint="eastAsia" w:ascii="仿宋_GB2312" w:hAnsi="仿宋" w:eastAsia="仿宋_GB2312" w:cs="仿宋"/>
                <w:spacing w:val="-12"/>
                <w:kern w:val="0"/>
                <w:sz w:val="24"/>
                <w:szCs w:val="24"/>
              </w:rPr>
              <w:t>和选题需要。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工作量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1" w:right="161" w:firstLine="7"/>
              <w:textAlignment w:val="auto"/>
              <w:rPr>
                <w:rFonts w:ascii="仿宋_GB2312" w:hAnsi="仿宋" w:eastAsia="仿宋_GB2312" w:cs="仿宋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5"/>
                <w:kern w:val="0"/>
                <w:sz w:val="24"/>
                <w:szCs w:val="24"/>
              </w:rPr>
              <w:t>工作量饱满，能反映出学生的综合能力培养过程。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  <w:jc w:val="center"/>
        </w:trPr>
        <w:tc>
          <w:tcPr>
            <w:tcW w:w="1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逻辑构建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(20)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内容组织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03"/>
              <w:rPr>
                <w:rFonts w:ascii="仿宋_GB2312" w:hAnsi="仿宋" w:eastAsia="仿宋_GB2312" w:cs="仿宋"/>
                <w:spacing w:val="-1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6"/>
                <w:kern w:val="0"/>
                <w:sz w:val="24"/>
                <w:szCs w:val="24"/>
              </w:rPr>
              <w:t>核心模块完备</w:t>
            </w:r>
            <w:r>
              <w:rPr>
                <w:rFonts w:hint="eastAsia" w:ascii="仿宋_GB2312" w:hAnsi="仿宋" w:eastAsia="仿宋_GB2312" w:cs="仿宋"/>
                <w:spacing w:val="-13"/>
                <w:kern w:val="0"/>
                <w:sz w:val="24"/>
                <w:szCs w:val="24"/>
              </w:rPr>
              <w:t xml:space="preserve">，层次分明，重点突出，详略得当。鼓励结合自己的毕业创作(作品)进行写作。毕业设计内容有一定的实践可操作性、艺术性与思想深度。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逻辑结构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18" w:right="161" w:hanging="12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概念准确，</w:t>
            </w:r>
            <w:r>
              <w:rPr>
                <w:rFonts w:hint="eastAsia" w:ascii="仿宋_GB2312" w:hAnsi="仿宋" w:eastAsia="仿宋_GB2312" w:cs="仿宋"/>
                <w:spacing w:val="-4"/>
                <w:kern w:val="0"/>
                <w:sz w:val="24"/>
                <w:szCs w:val="24"/>
              </w:rPr>
              <w:t>理论运用合理，</w:t>
            </w: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论</w:t>
            </w: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点</w:t>
            </w:r>
            <w:r>
              <w:rPr>
                <w:rFonts w:hint="eastAsia" w:ascii="仿宋_GB2312" w:hAnsi="仿宋" w:eastAsia="仿宋_GB2312" w:cs="仿宋"/>
                <w:spacing w:val="-4"/>
                <w:kern w:val="0"/>
                <w:sz w:val="24"/>
                <w:szCs w:val="24"/>
              </w:rPr>
              <w:t>鲜明，论据确凿，论证严谨，结论可靠。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专业能力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(40)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文献调研能力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28" w:right="34" w:hanging="10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21"/>
                <w:kern w:val="0"/>
                <w:sz w:val="24"/>
                <w:szCs w:val="24"/>
              </w:rPr>
              <w:t>具有一定的文献资料查阅、整理、分析能力，</w:t>
            </w:r>
            <w:r>
              <w:rPr>
                <w:rFonts w:hint="eastAsia" w:ascii="仿宋_GB2312" w:hAnsi="仿宋" w:eastAsia="仿宋_GB2312" w:cs="仿宋"/>
                <w:spacing w:val="-13"/>
                <w:kern w:val="0"/>
                <w:sz w:val="24"/>
                <w:szCs w:val="24"/>
              </w:rPr>
              <w:t>追踪本领域研究现状或行业动态，</w:t>
            </w:r>
            <w:r>
              <w:rPr>
                <w:rFonts w:hint="eastAsia" w:ascii="仿宋_GB2312" w:hAnsi="仿宋" w:eastAsia="仿宋_GB2312" w:cs="仿宋"/>
                <w:spacing w:val="14"/>
                <w:kern w:val="0"/>
                <w:sz w:val="24"/>
                <w:szCs w:val="24"/>
              </w:rPr>
              <w:t>能</w:t>
            </w:r>
            <w:r>
              <w:rPr>
                <w:rFonts w:hint="eastAsia" w:ascii="仿宋_GB2312" w:hAnsi="仿宋" w:eastAsia="仿宋_GB2312" w:cs="仿宋"/>
                <w:spacing w:val="9"/>
                <w:kern w:val="0"/>
                <w:sz w:val="24"/>
                <w:szCs w:val="24"/>
              </w:rPr>
              <w:t>支</w:t>
            </w:r>
            <w:r>
              <w:rPr>
                <w:rFonts w:hint="eastAsia" w:ascii="仿宋_GB2312" w:hAnsi="仿宋" w:eastAsia="仿宋_GB2312" w:cs="仿宋"/>
                <w:spacing w:val="7"/>
                <w:kern w:val="0"/>
                <w:sz w:val="24"/>
                <w:szCs w:val="24"/>
              </w:rPr>
              <w:t>撑该论文(设计)的选题。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综合应用知识</w:t>
            </w:r>
          </w:p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能力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28" w:right="34" w:hanging="17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16"/>
                <w:kern w:val="0"/>
                <w:sz w:val="24"/>
                <w:szCs w:val="24"/>
              </w:rPr>
              <w:t>将相</w:t>
            </w:r>
            <w:r>
              <w:rPr>
                <w:rFonts w:hint="eastAsia" w:ascii="仿宋_GB2312" w:hAnsi="仿宋" w:eastAsia="仿宋_GB2312" w:cs="仿宋"/>
                <w:spacing w:val="-11"/>
                <w:kern w:val="0"/>
                <w:sz w:val="24"/>
                <w:szCs w:val="24"/>
              </w:rPr>
              <w:t>关</w:t>
            </w: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领域的基础理论、专业知识合理应用到毕业设计（创作）工作中，</w:t>
            </w:r>
            <w:r>
              <w:rPr>
                <w:rFonts w:hint="eastAsia" w:ascii="仿宋_GB2312" w:hAnsi="仿宋" w:eastAsia="仿宋_GB2312" w:cs="仿宋"/>
                <w:spacing w:val="-11"/>
                <w:kern w:val="0"/>
                <w:sz w:val="24"/>
                <w:szCs w:val="24"/>
              </w:rPr>
              <w:t>能</w:t>
            </w: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体现所在专业领域的能力和素养。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分析解决问题</w:t>
            </w:r>
          </w:p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能力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22" w:right="175" w:hanging="21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掌握基础的专业知识和研究方法</w:t>
            </w:r>
            <w:r>
              <w:rPr>
                <w:rFonts w:hint="eastAsia" w:ascii="仿宋_GB2312" w:hAnsi="仿宋" w:eastAsia="仿宋_GB2312" w:cs="仿宋"/>
                <w:spacing w:val="-4"/>
                <w:kern w:val="0"/>
                <w:sz w:val="24"/>
                <w:szCs w:val="24"/>
              </w:rPr>
              <w:t>，进行理论研究（艺术创作与实践），善于发现问题、分析问题，体现出一定的解决本专业领域问题的能力和水平。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创新能力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20" w:right="161" w:firstLine="7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体现作者的独立思考，内容有一定的特色或新意，</w:t>
            </w:r>
            <w:r>
              <w:rPr>
                <w:rFonts w:hint="eastAsia" w:ascii="仿宋_GB2312" w:hAnsi="仿宋" w:eastAsia="仿宋_GB2312" w:cs="仿宋"/>
                <w:spacing w:val="-5"/>
                <w:kern w:val="0"/>
                <w:sz w:val="24"/>
                <w:szCs w:val="24"/>
              </w:rPr>
              <w:t>或对</w:t>
            </w:r>
            <w:r>
              <w:rPr>
                <w:rFonts w:hint="eastAsia" w:ascii="仿宋_GB2312" w:hAnsi="仿宋" w:eastAsia="仿宋_GB2312" w:cs="仿宋"/>
                <w:spacing w:val="-17"/>
                <w:kern w:val="0"/>
                <w:sz w:val="24"/>
                <w:szCs w:val="24"/>
              </w:rPr>
              <w:t>实</w:t>
            </w:r>
            <w:r>
              <w:rPr>
                <w:rFonts w:hint="eastAsia" w:ascii="仿宋_GB2312" w:hAnsi="仿宋" w:eastAsia="仿宋_GB2312" w:cs="仿宋"/>
                <w:spacing w:val="-10"/>
                <w:kern w:val="0"/>
                <w:sz w:val="24"/>
                <w:szCs w:val="24"/>
              </w:rPr>
              <w:t>践具有一定指导意义。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5" w:hRule="atLeast"/>
          <w:jc w:val="center"/>
        </w:trPr>
        <w:tc>
          <w:tcPr>
            <w:tcW w:w="11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学术规范</w:t>
            </w:r>
          </w:p>
          <w:p>
            <w:pPr>
              <w:spacing w:line="318" w:lineRule="auto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(20)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行文规范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11" w:right="161" w:firstLine="7"/>
              <w:rPr>
                <w:rFonts w:ascii="仿宋_GB2312" w:hAnsi="仿宋" w:eastAsia="仿宋_GB2312" w:cs="仿宋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"/>
                <w:kern w:val="0"/>
                <w:sz w:val="24"/>
                <w:szCs w:val="24"/>
              </w:rPr>
              <w:t>文字表达、书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写格式、图表(图纸)、公式符号、缩略</w:t>
            </w:r>
            <w:r>
              <w:rPr>
                <w:rFonts w:hint="eastAsia" w:ascii="仿宋_GB2312" w:hAnsi="仿宋" w:eastAsia="仿宋_GB2312" w:cs="仿宋"/>
                <w:spacing w:val="-14"/>
                <w:kern w:val="0"/>
                <w:sz w:val="24"/>
                <w:szCs w:val="24"/>
              </w:rPr>
              <w:t>词</w:t>
            </w:r>
            <w:r>
              <w:rPr>
                <w:rFonts w:hint="eastAsia" w:ascii="仿宋_GB2312" w:hAnsi="仿宋" w:eastAsia="仿宋_GB2312" w:cs="仿宋"/>
                <w:spacing w:val="-11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_GB2312" w:hAnsi="仿宋" w:eastAsia="仿宋_GB2312" w:cs="仿宋"/>
                <w:spacing w:val="-7"/>
                <w:kern w:val="0"/>
                <w:sz w:val="24"/>
                <w:szCs w:val="24"/>
              </w:rPr>
              <w:t>方面符合通行学术规范。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4" w:hRule="atLeast"/>
          <w:jc w:val="center"/>
        </w:trPr>
        <w:tc>
          <w:tcPr>
            <w:tcW w:w="11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引用规范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ind w:left="108" w:right="161" w:firstLine="2"/>
              <w:rPr>
                <w:rFonts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8"/>
                <w:kern w:val="0"/>
                <w:sz w:val="24"/>
                <w:szCs w:val="24"/>
              </w:rPr>
              <w:t>在资</w:t>
            </w: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料</w:t>
            </w:r>
            <w:r>
              <w:rPr>
                <w:rFonts w:hint="eastAsia" w:ascii="仿宋_GB2312" w:hAnsi="仿宋" w:eastAsia="仿宋_GB2312" w:cs="仿宋"/>
                <w:spacing w:val="-4"/>
                <w:kern w:val="0"/>
                <w:sz w:val="24"/>
                <w:szCs w:val="24"/>
              </w:rPr>
              <w:t>引证、参考文献等方面符合通行学术规范和知识</w:t>
            </w:r>
            <w:r>
              <w:rPr>
                <w:rFonts w:hint="eastAsia" w:ascii="仿宋_GB2312" w:hAnsi="仿宋" w:eastAsia="仿宋_GB2312" w:cs="仿宋"/>
                <w:spacing w:val="-11"/>
                <w:kern w:val="0"/>
                <w:sz w:val="24"/>
                <w:szCs w:val="24"/>
              </w:rPr>
              <w:t>产</w:t>
            </w:r>
            <w:r>
              <w:rPr>
                <w:rFonts w:hint="eastAsia" w:ascii="仿宋_GB2312" w:hAnsi="仿宋" w:eastAsia="仿宋_GB2312" w:cs="仿宋"/>
                <w:spacing w:val="-10"/>
                <w:kern w:val="0"/>
                <w:sz w:val="24"/>
                <w:szCs w:val="24"/>
              </w:rPr>
              <w:t>权相关规定。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1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否决性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指标</w:t>
            </w:r>
          </w:p>
        </w:tc>
        <w:tc>
          <w:tcPr>
            <w:tcW w:w="1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9" w:lineRule="auto"/>
              <w:jc w:val="center"/>
              <w:rPr>
                <w:rFonts w:ascii="仿宋_GB2312" w:hAnsi="仿宋" w:eastAsia="仿宋_GB2312" w:cs="仿宋"/>
                <w:spacing w:val="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12"/>
                <w:kern w:val="0"/>
                <w:sz w:val="24"/>
                <w:szCs w:val="24"/>
              </w:rPr>
              <w:t>学术诚信</w:t>
            </w:r>
          </w:p>
        </w:tc>
        <w:tc>
          <w:tcPr>
            <w:tcW w:w="606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16" w:lineRule="auto"/>
              <w:ind w:left="114"/>
              <w:rPr>
                <w:rFonts w:ascii="仿宋_GB2312" w:hAnsi="仿宋" w:eastAsia="仿宋_GB2312" w:cs="仿宋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pacing w:val="-6"/>
                <w:kern w:val="0"/>
                <w:sz w:val="24"/>
                <w:szCs w:val="24"/>
              </w:rPr>
              <w:t>存在抄袭、剽窃、伪造、篡改、买卖、代写等学术不端行为。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hAnsi="等线" w:eastAsia="仿宋_GB2312" w:cs="Times New Roman"/>
          <w:sz w:val="24"/>
          <w:szCs w:val="24"/>
        </w:rPr>
        <w:t>注：采取百分制评分，根据总分分为“优秀（90≤优秀&lt;100）”、“良好（75≤良好&lt;90）”、“合格（60≤合格&lt;75）”</w:t>
      </w:r>
      <w:bookmarkStart w:id="0" w:name="_GoBack"/>
      <w:r>
        <w:rPr>
          <w:rFonts w:hint="eastAsia" w:ascii="仿宋_GB2312" w:hAnsi="等线" w:eastAsia="仿宋_GB2312" w:cs="Times New Roman"/>
          <w:sz w:val="24"/>
          <w:szCs w:val="24"/>
        </w:rPr>
        <w:t>、“不合格</w:t>
      </w:r>
      <w:bookmarkEnd w:id="0"/>
      <w:r>
        <w:rPr>
          <w:rFonts w:hint="eastAsia" w:ascii="仿宋_GB2312" w:hAnsi="等线" w:eastAsia="仿宋_GB2312" w:cs="Times New Roman"/>
          <w:sz w:val="24"/>
          <w:szCs w:val="24"/>
        </w:rPr>
        <w:t>（不合格&lt;60）”四个档次</w:t>
      </w:r>
    </w:p>
    <w:sectPr>
      <w:pgSz w:w="11906" w:h="16838"/>
      <w:pgMar w:top="1701" w:right="1417" w:bottom="170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0YmEyMGQyZWIzZDliZjkwOTdlODJkZDE4MTUyNDcifQ=="/>
  </w:docVars>
  <w:rsids>
    <w:rsidRoot w:val="00F60009"/>
    <w:rsid w:val="00072B93"/>
    <w:rsid w:val="00075D53"/>
    <w:rsid w:val="000C3FA4"/>
    <w:rsid w:val="000D0BA2"/>
    <w:rsid w:val="00144B3D"/>
    <w:rsid w:val="00177808"/>
    <w:rsid w:val="001A4A19"/>
    <w:rsid w:val="001B31C7"/>
    <w:rsid w:val="001B7E31"/>
    <w:rsid w:val="001D51C9"/>
    <w:rsid w:val="002176A9"/>
    <w:rsid w:val="00252899"/>
    <w:rsid w:val="002774B9"/>
    <w:rsid w:val="002A0BBD"/>
    <w:rsid w:val="002A5486"/>
    <w:rsid w:val="002F1D09"/>
    <w:rsid w:val="003E01ED"/>
    <w:rsid w:val="00404294"/>
    <w:rsid w:val="00421617"/>
    <w:rsid w:val="00426D36"/>
    <w:rsid w:val="004344C9"/>
    <w:rsid w:val="004631A9"/>
    <w:rsid w:val="0047479D"/>
    <w:rsid w:val="00485577"/>
    <w:rsid w:val="00494AFB"/>
    <w:rsid w:val="004B5DE1"/>
    <w:rsid w:val="004D2F42"/>
    <w:rsid w:val="004E36DF"/>
    <w:rsid w:val="005148E6"/>
    <w:rsid w:val="00520279"/>
    <w:rsid w:val="00560964"/>
    <w:rsid w:val="00606AEC"/>
    <w:rsid w:val="006841FD"/>
    <w:rsid w:val="006B285C"/>
    <w:rsid w:val="006F2248"/>
    <w:rsid w:val="00715739"/>
    <w:rsid w:val="007571EF"/>
    <w:rsid w:val="00796B42"/>
    <w:rsid w:val="007977D4"/>
    <w:rsid w:val="007B5313"/>
    <w:rsid w:val="007B7371"/>
    <w:rsid w:val="008A3BAE"/>
    <w:rsid w:val="008A68B2"/>
    <w:rsid w:val="008D5E1D"/>
    <w:rsid w:val="008E3D08"/>
    <w:rsid w:val="009000F7"/>
    <w:rsid w:val="00AB3CFB"/>
    <w:rsid w:val="00AC7922"/>
    <w:rsid w:val="00B01DD0"/>
    <w:rsid w:val="00B11176"/>
    <w:rsid w:val="00B6308D"/>
    <w:rsid w:val="00B734AD"/>
    <w:rsid w:val="00B75C28"/>
    <w:rsid w:val="00BC42AA"/>
    <w:rsid w:val="00BE0761"/>
    <w:rsid w:val="00BE6B20"/>
    <w:rsid w:val="00C06A57"/>
    <w:rsid w:val="00C80C11"/>
    <w:rsid w:val="00CD41EE"/>
    <w:rsid w:val="00D40063"/>
    <w:rsid w:val="00D80C8D"/>
    <w:rsid w:val="00D80EDB"/>
    <w:rsid w:val="00DA207F"/>
    <w:rsid w:val="00DC6B4D"/>
    <w:rsid w:val="00DD18CA"/>
    <w:rsid w:val="00DD2C0A"/>
    <w:rsid w:val="00E14696"/>
    <w:rsid w:val="00E42C7D"/>
    <w:rsid w:val="00E521C0"/>
    <w:rsid w:val="00EF2437"/>
    <w:rsid w:val="00F2685A"/>
    <w:rsid w:val="00F60009"/>
    <w:rsid w:val="00F81475"/>
    <w:rsid w:val="00F93DDF"/>
    <w:rsid w:val="00FA2E74"/>
    <w:rsid w:val="00FC274A"/>
    <w:rsid w:val="00FF009A"/>
    <w:rsid w:val="035D0D2D"/>
    <w:rsid w:val="052417F4"/>
    <w:rsid w:val="056A0403"/>
    <w:rsid w:val="0C6A7B77"/>
    <w:rsid w:val="0F8A2807"/>
    <w:rsid w:val="11932A50"/>
    <w:rsid w:val="15D254A8"/>
    <w:rsid w:val="18C84C76"/>
    <w:rsid w:val="19B723E0"/>
    <w:rsid w:val="1B7B47B2"/>
    <w:rsid w:val="1B966B07"/>
    <w:rsid w:val="1DC75809"/>
    <w:rsid w:val="1DD83E1E"/>
    <w:rsid w:val="21562EE0"/>
    <w:rsid w:val="23FC724C"/>
    <w:rsid w:val="264E0C35"/>
    <w:rsid w:val="28AA446E"/>
    <w:rsid w:val="2EDE7F1D"/>
    <w:rsid w:val="309674F2"/>
    <w:rsid w:val="336B429E"/>
    <w:rsid w:val="34AA076E"/>
    <w:rsid w:val="38C42175"/>
    <w:rsid w:val="3A412DFA"/>
    <w:rsid w:val="4B3E36B9"/>
    <w:rsid w:val="4C993C2F"/>
    <w:rsid w:val="533753A7"/>
    <w:rsid w:val="547956DD"/>
    <w:rsid w:val="57744AD0"/>
    <w:rsid w:val="585A401C"/>
    <w:rsid w:val="5B9D489D"/>
    <w:rsid w:val="60253098"/>
    <w:rsid w:val="627745D4"/>
    <w:rsid w:val="63C7620C"/>
    <w:rsid w:val="6E727D88"/>
    <w:rsid w:val="74266457"/>
    <w:rsid w:val="745F1DE7"/>
    <w:rsid w:val="76844C48"/>
    <w:rsid w:val="7B9C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line="570" w:lineRule="exact"/>
      <w:ind w:firstLine="880" w:firstLineChars="200"/>
    </w:pPr>
    <w:rPr>
      <w:rFonts w:ascii="仿宋_GB2312" w:hAnsi="仿宋_GB2312" w:eastAsia="仿宋_GB2312" w:cs="仿宋_GB2312"/>
      <w:kern w:val="10"/>
      <w:sz w:val="32"/>
      <w:szCs w:val="32"/>
    </w:rPr>
  </w:style>
  <w:style w:type="paragraph" w:styleId="6">
    <w:name w:val="Body Text First Indent 2"/>
    <w:basedOn w:val="7"/>
    <w:unhideWhenUsed/>
    <w:qFormat/>
    <w:uiPriority w:val="99"/>
    <w:pPr>
      <w:ind w:firstLine="420" w:firstLineChars="200"/>
    </w:p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批注框文本 字符"/>
    <w:link w:val="8"/>
    <w:qFormat/>
    <w:uiPriority w:val="0"/>
    <w:rPr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803</Characters>
  <Lines>32</Lines>
  <Paragraphs>9</Paragraphs>
  <TotalTime>6</TotalTime>
  <ScaleCrop>false</ScaleCrop>
  <LinksUpToDate>false</LinksUpToDate>
  <CharactersWithSpaces>806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2022-08-19T08:38:00Z</dcterms:created>
  <dc:creator>dell</dc:creator>
  <cp:lastModifiedBy>lxm</cp:lastModifiedBy>
  <cp:lastPrinted>2022-08-19T06:23:00Z</cp:lastPrinted>
  <dcterms:modified xsi:type="dcterms:W3CDTF">2023-02-27T06:51:05Z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7F09B05933ED44F9AC26A8824F18FF5F</vt:lpwstr>
  </property>
</Properties>
</file>